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pPr>
      <w:r w:rsidDel="00000000" w:rsidR="00000000" w:rsidRPr="00000000">
        <w:rPr>
          <w:rtl w:val="0"/>
        </w:rPr>
      </w:r>
    </w:p>
    <w:p w:rsidR="00000000" w:rsidDel="00000000" w:rsidP="00000000" w:rsidRDefault="00000000" w:rsidRPr="00000000" w14:paraId="00000002">
      <w:pPr>
        <w:ind w:firstLine="720"/>
        <w:jc w:val="center"/>
        <w:rPr/>
      </w:pPr>
      <w:r w:rsidDel="00000000" w:rsidR="00000000" w:rsidRPr="00000000">
        <w:rPr>
          <w:rtl w:val="0"/>
        </w:rPr>
      </w:r>
    </w:p>
    <w:p w:rsidR="00000000" w:rsidDel="00000000" w:rsidP="00000000" w:rsidRDefault="00000000" w:rsidRPr="00000000" w14:paraId="00000003">
      <w:pPr>
        <w:ind w:firstLine="720"/>
        <w:jc w:val="center"/>
        <w:rPr/>
      </w:pPr>
      <w:r w:rsidDel="00000000" w:rsidR="00000000" w:rsidRPr="00000000">
        <w:rPr>
          <w:rtl w:val="0"/>
        </w:rPr>
      </w:r>
    </w:p>
    <w:p w:rsidR="00000000" w:rsidDel="00000000" w:rsidP="00000000" w:rsidRDefault="00000000" w:rsidRPr="00000000" w14:paraId="00000004">
      <w:pPr>
        <w:ind w:firstLine="720"/>
        <w:jc w:val="center"/>
        <w:rPr/>
      </w:pPr>
      <w:r w:rsidDel="00000000" w:rsidR="00000000" w:rsidRPr="00000000">
        <w:rPr>
          <w:rtl w:val="0"/>
        </w:rPr>
      </w:r>
    </w:p>
    <w:p w:rsidR="00000000" w:rsidDel="00000000" w:rsidP="00000000" w:rsidRDefault="00000000" w:rsidRPr="00000000" w14:paraId="00000005">
      <w:pPr>
        <w:ind w:firstLine="720"/>
        <w:jc w:val="center"/>
        <w:rPr/>
      </w:pPr>
      <w:r w:rsidDel="00000000" w:rsidR="00000000" w:rsidRPr="00000000">
        <w:rPr>
          <w:rtl w:val="0"/>
        </w:rPr>
      </w:r>
    </w:p>
    <w:p w:rsidR="00000000" w:rsidDel="00000000" w:rsidP="00000000" w:rsidRDefault="00000000" w:rsidRPr="00000000" w14:paraId="00000006">
      <w:pPr>
        <w:ind w:firstLine="720"/>
        <w:jc w:val="center"/>
        <w:rPr/>
      </w:pPr>
      <w:r w:rsidDel="00000000" w:rsidR="00000000" w:rsidRPr="00000000">
        <w:rPr>
          <w:rtl w:val="0"/>
        </w:rPr>
      </w:r>
    </w:p>
    <w:p w:rsidR="00000000" w:rsidDel="00000000" w:rsidP="00000000" w:rsidRDefault="00000000" w:rsidRPr="00000000" w14:paraId="00000007">
      <w:pPr>
        <w:ind w:firstLine="720"/>
        <w:jc w:val="center"/>
        <w:rPr/>
      </w:pPr>
      <w:r w:rsidDel="00000000" w:rsidR="00000000" w:rsidRPr="00000000">
        <w:rPr>
          <w:rtl w:val="0"/>
        </w:rPr>
        <w:t xml:space="preserve">Placebo Effects</w:t>
      </w:r>
    </w:p>
    <w:p w:rsidR="00000000" w:rsidDel="00000000" w:rsidP="00000000" w:rsidRDefault="00000000" w:rsidRPr="00000000" w14:paraId="00000008">
      <w:pPr>
        <w:ind w:firstLine="720"/>
        <w:jc w:val="center"/>
        <w:rPr/>
      </w:pPr>
      <w:r w:rsidDel="00000000" w:rsidR="00000000" w:rsidRPr="00000000">
        <w:rPr>
          <w:rtl w:val="0"/>
        </w:rPr>
      </w:r>
    </w:p>
    <w:p w:rsidR="00000000" w:rsidDel="00000000" w:rsidP="00000000" w:rsidRDefault="00000000" w:rsidRPr="00000000" w14:paraId="00000009">
      <w:pPr>
        <w:ind w:firstLine="720"/>
        <w:jc w:val="center"/>
        <w:rPr/>
      </w:pPr>
      <w:r w:rsidDel="00000000" w:rsidR="00000000" w:rsidRPr="00000000">
        <w:rPr>
          <w:rtl w:val="0"/>
        </w:rPr>
      </w:r>
    </w:p>
    <w:p w:rsidR="00000000" w:rsidDel="00000000" w:rsidP="00000000" w:rsidRDefault="00000000" w:rsidRPr="00000000" w14:paraId="0000000A">
      <w:pPr>
        <w:ind w:firstLine="720"/>
        <w:jc w:val="center"/>
        <w:rPr/>
      </w:pPr>
      <w:r w:rsidDel="00000000" w:rsidR="00000000" w:rsidRPr="00000000">
        <w:rPr>
          <w:rtl w:val="0"/>
        </w:rPr>
      </w:r>
    </w:p>
    <w:p w:rsidR="00000000" w:rsidDel="00000000" w:rsidP="00000000" w:rsidRDefault="00000000" w:rsidRPr="00000000" w14:paraId="0000000B">
      <w:pPr>
        <w:ind w:firstLine="720"/>
        <w:jc w:val="center"/>
        <w:rPr/>
      </w:pPr>
      <w:r w:rsidDel="00000000" w:rsidR="00000000" w:rsidRPr="00000000">
        <w:rPr>
          <w:rtl w:val="0"/>
        </w:rPr>
      </w:r>
    </w:p>
    <w:p w:rsidR="00000000" w:rsidDel="00000000" w:rsidP="00000000" w:rsidRDefault="00000000" w:rsidRPr="00000000" w14:paraId="0000000C">
      <w:pPr>
        <w:ind w:firstLine="720"/>
        <w:jc w:val="center"/>
        <w:rPr/>
      </w:pPr>
      <w:r w:rsidDel="00000000" w:rsidR="00000000" w:rsidRPr="00000000">
        <w:rPr>
          <w:rtl w:val="0"/>
        </w:rPr>
      </w:r>
    </w:p>
    <w:p w:rsidR="00000000" w:rsidDel="00000000" w:rsidP="00000000" w:rsidRDefault="00000000" w:rsidRPr="00000000" w14:paraId="0000000D">
      <w:pPr>
        <w:ind w:firstLine="720"/>
        <w:jc w:val="center"/>
        <w:rPr/>
      </w:pPr>
      <w:r w:rsidDel="00000000" w:rsidR="00000000" w:rsidRPr="00000000">
        <w:rPr>
          <w:rtl w:val="0"/>
        </w:rPr>
      </w:r>
    </w:p>
    <w:p w:rsidR="00000000" w:rsidDel="00000000" w:rsidP="00000000" w:rsidRDefault="00000000" w:rsidRPr="00000000" w14:paraId="0000000E">
      <w:pPr>
        <w:ind w:firstLine="720"/>
        <w:jc w:val="center"/>
        <w:rPr/>
      </w:pPr>
      <w:r w:rsidDel="00000000" w:rsidR="00000000" w:rsidRPr="00000000">
        <w:rPr>
          <w:rtl w:val="0"/>
        </w:rPr>
      </w:r>
    </w:p>
    <w:p w:rsidR="00000000" w:rsidDel="00000000" w:rsidP="00000000" w:rsidRDefault="00000000" w:rsidRPr="00000000" w14:paraId="0000000F">
      <w:pPr>
        <w:ind w:firstLine="720"/>
        <w:jc w:val="center"/>
        <w:rPr/>
      </w:pPr>
      <w:r w:rsidDel="00000000" w:rsidR="00000000" w:rsidRPr="00000000">
        <w:rPr>
          <w:rtl w:val="0"/>
        </w:rPr>
      </w:r>
    </w:p>
    <w:p w:rsidR="00000000" w:rsidDel="00000000" w:rsidP="00000000" w:rsidRDefault="00000000" w:rsidRPr="00000000" w14:paraId="00000010">
      <w:pPr>
        <w:ind w:firstLine="720"/>
        <w:jc w:val="center"/>
        <w:rPr/>
      </w:pPr>
      <w:r w:rsidDel="00000000" w:rsidR="00000000" w:rsidRPr="00000000">
        <w:rPr>
          <w:rtl w:val="0"/>
        </w:rPr>
      </w:r>
    </w:p>
    <w:p w:rsidR="00000000" w:rsidDel="00000000" w:rsidP="00000000" w:rsidRDefault="00000000" w:rsidRPr="00000000" w14:paraId="00000011">
      <w:pPr>
        <w:spacing w:after="0" w:lineRule="auto"/>
        <w:ind w:firstLine="720"/>
        <w:jc w:val="center"/>
        <w:rPr/>
      </w:pPr>
      <w:r w:rsidDel="00000000" w:rsidR="00000000" w:rsidRPr="00000000">
        <w:rPr>
          <w:rtl w:val="0"/>
        </w:rPr>
      </w:r>
    </w:p>
    <w:p w:rsidR="00000000" w:rsidDel="00000000" w:rsidP="00000000" w:rsidRDefault="00000000" w:rsidRPr="00000000" w14:paraId="00000012">
      <w:pPr>
        <w:spacing w:after="0" w:lineRule="auto"/>
        <w:ind w:firstLine="720"/>
        <w:jc w:val="center"/>
        <w:rPr/>
      </w:pPr>
      <w:r w:rsidDel="00000000" w:rsidR="00000000" w:rsidRPr="00000000">
        <w:rPr>
          <w:rtl w:val="0"/>
        </w:rPr>
      </w:r>
    </w:p>
    <w:p w:rsidR="00000000" w:rsidDel="00000000" w:rsidP="00000000" w:rsidRDefault="00000000" w:rsidRPr="00000000" w14:paraId="00000013">
      <w:pPr>
        <w:spacing w:after="0" w:lineRule="auto"/>
        <w:ind w:firstLine="720"/>
        <w:jc w:val="center"/>
        <w:rPr/>
      </w:pPr>
      <w:r w:rsidDel="00000000" w:rsidR="00000000" w:rsidRPr="00000000">
        <w:rPr>
          <w:rtl w:val="0"/>
        </w:rPr>
      </w:r>
    </w:p>
    <w:p w:rsidR="00000000" w:rsidDel="00000000" w:rsidP="00000000" w:rsidRDefault="00000000" w:rsidRPr="00000000" w14:paraId="00000014">
      <w:pPr>
        <w:spacing w:after="0" w:lineRule="auto"/>
        <w:ind w:firstLine="720"/>
        <w:jc w:val="center"/>
        <w:rPr/>
      </w:pPr>
      <w:r w:rsidDel="00000000" w:rsidR="00000000" w:rsidRPr="00000000">
        <w:rPr>
          <w:rtl w:val="0"/>
        </w:rPr>
        <w:t xml:space="preserve">Annotated bibliography</w:t>
      </w:r>
    </w:p>
    <w:p w:rsidR="00000000" w:rsidDel="00000000" w:rsidP="00000000" w:rsidRDefault="00000000" w:rsidRPr="00000000" w14:paraId="00000015">
      <w:pPr>
        <w:spacing w:after="0" w:lineRule="auto"/>
        <w:ind w:left="0" w:firstLine="0"/>
        <w:rPr/>
      </w:pPr>
      <w:r w:rsidDel="00000000" w:rsidR="00000000" w:rsidRPr="00000000">
        <w:rPr>
          <w:highlight w:val="white"/>
          <w:rtl w:val="0"/>
        </w:rPr>
        <w:t xml:space="preserve">Onas, W. B. (2011). Reframing placebo in research and practice. </w:t>
      </w:r>
      <w:r w:rsidDel="00000000" w:rsidR="00000000" w:rsidRPr="00000000">
        <w:rPr>
          <w:i w:val="1"/>
          <w:highlight w:val="white"/>
          <w:rtl w:val="0"/>
        </w:rPr>
        <w:t xml:space="preserve">Philosophical Transactions of </w:t>
        <w:tab/>
        <w:t xml:space="preserve">the Royal Society B: Biological Sciences</w:t>
      </w:r>
      <w:r w:rsidDel="00000000" w:rsidR="00000000" w:rsidRPr="00000000">
        <w:rPr>
          <w:highlight w:val="white"/>
          <w:rtl w:val="0"/>
        </w:rPr>
        <w:t xml:space="preserve">, </w:t>
      </w:r>
      <w:r w:rsidDel="00000000" w:rsidR="00000000" w:rsidRPr="00000000">
        <w:rPr>
          <w:i w:val="1"/>
          <w:highlight w:val="white"/>
          <w:rtl w:val="0"/>
        </w:rPr>
        <w:t xml:space="preserve">366</w:t>
      </w:r>
      <w:r w:rsidDel="00000000" w:rsidR="00000000" w:rsidRPr="00000000">
        <w:rPr>
          <w:highlight w:val="white"/>
          <w:rtl w:val="0"/>
        </w:rPr>
        <w:t xml:space="preserve">(1572), 1896-</w:t>
        <w:tab/>
        <w:t xml:space="preserve">1904. </w:t>
      </w:r>
      <w:hyperlink r:id="rId6">
        <w:r w:rsidDel="00000000" w:rsidR="00000000" w:rsidRPr="00000000">
          <w:rPr>
            <w:color w:val="000000"/>
            <w:highlight w:val="white"/>
            <w:u w:val="single"/>
            <w:rtl w:val="0"/>
          </w:rPr>
          <w:t xml:space="preserve">https://doi.org/10.1098/rstb.2010.0405</w:t>
        </w:r>
      </w:hyperlink>
      <w:r w:rsidDel="00000000" w:rsidR="00000000" w:rsidRPr="00000000">
        <w:rPr>
          <w:rtl w:val="0"/>
        </w:rPr>
      </w:r>
    </w:p>
    <w:p w:rsidR="00000000" w:rsidDel="00000000" w:rsidP="00000000" w:rsidRDefault="00000000" w:rsidRPr="00000000" w14:paraId="00000016">
      <w:pPr>
        <w:spacing w:after="0" w:lineRule="auto"/>
        <w:ind w:left="0" w:firstLine="0"/>
        <w:rPr/>
      </w:pPr>
      <w:r w:rsidDel="00000000" w:rsidR="00000000" w:rsidRPr="00000000">
        <w:rPr>
          <w:rtl w:val="0"/>
        </w:rPr>
        <w:tab/>
        <w:t xml:space="preserve">This research aims at finding out whether the placebo effect influences dispositional optimism and expectancy level. The article also identifies personal characteristics on placebo effects. To test the hypothesis, the researchers use different materials on 120 participants. The experimental materials include pain stimuli and disposition optimism. Through the experiment, the findings suggested that age was not directly linked with expectancy level and gender. Similar research has been conducted to gather more information by Benedetti. The researcher also aimed at identifying the mechanism of the placebo. The researchers also supported their hypothesis with the right section of individuals with the desired age and gender, enabling them to avoid bias conditions while assessing for placebo effects.</w:t>
      </w:r>
    </w:p>
    <w:p w:rsidR="00000000" w:rsidDel="00000000" w:rsidP="00000000" w:rsidRDefault="00000000" w:rsidRPr="00000000" w14:paraId="00000017">
      <w:pPr>
        <w:spacing w:after="0" w:lineRule="auto"/>
        <w:ind w:left="0" w:firstLine="0"/>
        <w:rPr/>
      </w:pPr>
      <w:r w:rsidDel="00000000" w:rsidR="00000000" w:rsidRPr="00000000">
        <w:rPr>
          <w:rtl w:val="0"/>
        </w:rPr>
        <w:tab/>
        <w:t xml:space="preserve">The experiment is crucial to the research question since it offers an in-depth analysis of several factors that affected the placebo effect, such as previous treatment experience, motivation, memory, and provider-patient interaction. Other factors include response expectancy and learning capabilities. The experiment demonstrates that placebo effects were influenced by human interaction and personal characteristics. Several observations, such as the impact of the reduction of pain unpleasantness and pain intensity, were highly influenced by gender and expectancy level. The researchers conclude that placebo effects have been highly recognized as a significant psychological event contributing to improved medical and therapeutic outcomes.</w:t>
      </w:r>
    </w:p>
    <w:p w:rsidR="00000000" w:rsidDel="00000000" w:rsidP="00000000" w:rsidRDefault="00000000" w:rsidRPr="00000000" w14:paraId="00000018">
      <w:pPr>
        <w:spacing w:after="0" w:lineRule="auto"/>
        <w:ind w:left="0" w:firstLine="0"/>
        <w:rPr/>
      </w:pPr>
      <w:r w:rsidDel="00000000" w:rsidR="00000000" w:rsidRPr="00000000">
        <w:rPr>
          <w:highlight w:val="white"/>
          <w:rtl w:val="0"/>
        </w:rPr>
        <w:t xml:space="preserve">Miller, F. G., Colloca, L., &amp; Kaptchuk, T. J. (2012). The placebo effect: illness and interpersonal </w:t>
        <w:tab/>
        <w:t xml:space="preserve">healing. </w:t>
      </w:r>
      <w:r w:rsidDel="00000000" w:rsidR="00000000" w:rsidRPr="00000000">
        <w:rPr>
          <w:i w:val="1"/>
          <w:highlight w:val="white"/>
          <w:rtl w:val="0"/>
        </w:rPr>
        <w:t xml:space="preserve">Perspectives in Biology and Medicine</w:t>
      </w:r>
      <w:r w:rsidDel="00000000" w:rsidR="00000000" w:rsidRPr="00000000">
        <w:rPr>
          <w:highlight w:val="white"/>
          <w:rtl w:val="0"/>
        </w:rPr>
        <w:t xml:space="preserve">, </w:t>
      </w:r>
      <w:r w:rsidDel="00000000" w:rsidR="00000000" w:rsidRPr="00000000">
        <w:rPr>
          <w:i w:val="1"/>
          <w:highlight w:val="white"/>
          <w:rtl w:val="0"/>
        </w:rPr>
        <w:t xml:space="preserve">52</w:t>
      </w:r>
      <w:r w:rsidDel="00000000" w:rsidR="00000000" w:rsidRPr="00000000">
        <w:rPr>
          <w:highlight w:val="white"/>
          <w:rtl w:val="0"/>
        </w:rPr>
        <w:t xml:space="preserve">(4), 518-</w:t>
        <w:tab/>
        <w:t xml:space="preserve">539. </w:t>
      </w:r>
      <w:hyperlink r:id="rId7">
        <w:r w:rsidDel="00000000" w:rsidR="00000000" w:rsidRPr="00000000">
          <w:rPr>
            <w:color w:val="000000"/>
            <w:highlight w:val="white"/>
            <w:u w:val="single"/>
            <w:rtl w:val="0"/>
          </w:rPr>
          <w:t xml:space="preserve">https://doi.org/10.1353/pbm.0.0115</w:t>
        </w:r>
      </w:hyperlink>
      <w:r w:rsidDel="00000000" w:rsidR="00000000" w:rsidRPr="00000000">
        <w:rPr>
          <w:rtl w:val="0"/>
        </w:rPr>
      </w:r>
    </w:p>
    <w:p w:rsidR="00000000" w:rsidDel="00000000" w:rsidP="00000000" w:rsidRDefault="00000000" w:rsidRPr="00000000" w14:paraId="00000019">
      <w:pPr>
        <w:spacing w:after="0" w:lineRule="auto"/>
        <w:ind w:left="0" w:firstLine="720"/>
        <w:rPr/>
      </w:pPr>
      <w:r w:rsidDel="00000000" w:rsidR="00000000" w:rsidRPr="00000000">
        <w:rPr>
          <w:rtl w:val="0"/>
        </w:rPr>
        <w:t xml:space="preserve">This paper's hypothesis is exploring the relationship between interpersonal and illness healing. To test the theory, the researchers explore different questions such as the definition of placebo and its effects on the clinically significant phenomenon. Other research questions included the existing types of placebo effects and the neurobiological and psychological mechanisms. The hypothesis in this research was supported by performing an investigation of the placebo effect. Afterward, the article investigates the relations between disease and illness. Besides, the relationship between interpersonal healing and the placebo effect offers crucial insight that supports the hypothesis. Later on, the researcher handles the evolution of the placebo effect and its speculative answers.</w:t>
      </w:r>
    </w:p>
    <w:p w:rsidR="00000000" w:rsidDel="00000000" w:rsidP="00000000" w:rsidRDefault="00000000" w:rsidRPr="00000000" w14:paraId="0000001A">
      <w:pPr>
        <w:spacing w:after="0" w:lineRule="auto"/>
        <w:ind w:left="0" w:firstLine="720"/>
        <w:rPr/>
      </w:pPr>
      <w:r w:rsidDel="00000000" w:rsidR="00000000" w:rsidRPr="00000000">
        <w:rPr>
          <w:rtl w:val="0"/>
        </w:rPr>
        <w:t xml:space="preserve">This article is crucial to the research question since it offers an expansive view of the placebo effect, starting with its introduction. Scientific research on the placebo effect has shaped scientific guidance without any alterations to the systematic theoretical paradigm. The study also offers essential knowledge on the theory development gaps. It also deals with several interconnected themes by placing the challenge within interpersonal healing and even in connection with the primary difference between illness and disease.</w:t>
      </w:r>
    </w:p>
    <w:p w:rsidR="00000000" w:rsidDel="00000000" w:rsidP="00000000" w:rsidRDefault="00000000" w:rsidRPr="00000000" w14:paraId="0000001B">
      <w:pPr>
        <w:spacing w:after="0" w:lineRule="auto"/>
        <w:ind w:left="0" w:firstLine="0"/>
        <w:rPr/>
      </w:pPr>
      <w:r w:rsidDel="00000000" w:rsidR="00000000" w:rsidRPr="00000000">
        <w:rPr>
          <w:color w:val="000000"/>
          <w:highlight w:val="white"/>
          <w:rtl w:val="0"/>
        </w:rPr>
        <w:t xml:space="preserve">Howe, L. C., Goyer, J. P., &amp; Crum, A. J. (2017). undefined. </w:t>
      </w:r>
      <w:r w:rsidDel="00000000" w:rsidR="00000000" w:rsidRPr="00000000">
        <w:rPr>
          <w:i w:val="1"/>
          <w:color w:val="000000"/>
          <w:highlight w:val="white"/>
          <w:rtl w:val="0"/>
        </w:rPr>
        <w:t xml:space="preserve">Health Psychology</w:t>
      </w:r>
      <w:r w:rsidDel="00000000" w:rsidR="00000000" w:rsidRPr="00000000">
        <w:rPr>
          <w:color w:val="000000"/>
          <w:highlight w:val="white"/>
          <w:rtl w:val="0"/>
        </w:rPr>
        <w:t xml:space="preserve">, </w:t>
      </w:r>
      <w:r w:rsidDel="00000000" w:rsidR="00000000" w:rsidRPr="00000000">
        <w:rPr>
          <w:i w:val="1"/>
          <w:color w:val="000000"/>
          <w:highlight w:val="white"/>
          <w:rtl w:val="0"/>
        </w:rPr>
        <w:t xml:space="preserve">36</w:t>
      </w:r>
      <w:r w:rsidDel="00000000" w:rsidR="00000000" w:rsidRPr="00000000">
        <w:rPr>
          <w:color w:val="000000"/>
          <w:highlight w:val="white"/>
          <w:rtl w:val="0"/>
        </w:rPr>
        <w:t xml:space="preserve">(11), 1074-</w:t>
        <w:tab/>
        <w:t xml:space="preserve">1082. </w:t>
      </w:r>
      <w:hyperlink r:id="rId8">
        <w:r w:rsidDel="00000000" w:rsidR="00000000" w:rsidRPr="00000000">
          <w:rPr>
            <w:color w:val="000000"/>
            <w:highlight w:val="white"/>
            <w:u w:val="single"/>
            <w:rtl w:val="0"/>
          </w:rPr>
          <w:t xml:space="preserve">https://doi.org/10.1037/hea0000499</w:t>
        </w:r>
      </w:hyperlink>
      <w:r w:rsidDel="00000000" w:rsidR="00000000" w:rsidRPr="00000000">
        <w:rPr>
          <w:rtl w:val="0"/>
        </w:rPr>
      </w:r>
    </w:p>
    <w:p w:rsidR="00000000" w:rsidDel="00000000" w:rsidP="00000000" w:rsidRDefault="00000000" w:rsidRPr="00000000" w14:paraId="0000001C">
      <w:pPr>
        <w:spacing w:after="0" w:lineRule="auto"/>
        <w:ind w:left="0" w:firstLine="0"/>
        <w:rPr/>
      </w:pPr>
      <w:r w:rsidDel="00000000" w:rsidR="00000000" w:rsidRPr="00000000">
        <w:rPr>
          <w:rtl w:val="0"/>
        </w:rPr>
        <w:tab/>
        <w:t xml:space="preserve">This research deals with the exploration of the influence of physician’s character on the placebo effect. Its hypothesis is the influence and expectations on treatment outcome. The article demonstrates how medical providers moderate the expectation and power on physiological results. The research supports its idea by introducing the allergic reaction on test subjects through a histamine skin prick test. The researchers injected a cream with active ingredients and the other without aiming to observe how the cream will increase or reduce expectations.</w:t>
      </w:r>
    </w:p>
    <w:p w:rsidR="00000000" w:rsidDel="00000000" w:rsidP="00000000" w:rsidRDefault="00000000" w:rsidRPr="00000000" w14:paraId="0000001D">
      <w:pPr>
        <w:spacing w:after="0" w:lineRule="auto"/>
        <w:ind w:left="0" w:firstLine="720"/>
        <w:rPr/>
      </w:pPr>
      <w:r w:rsidDel="00000000" w:rsidR="00000000" w:rsidRPr="00000000">
        <w:rPr>
          <w:rtl w:val="0"/>
        </w:rPr>
        <w:t xml:space="preserve">The search results back up the hypothesis as it states that the effects of expectations on allergic response were improved when the researchers acted more competent and warm. The expectations were reduced when the researcher conducted less intelligence and colder. The research is helpful to the project as it explores the diverse influence of physician's traits on placebo response. The article also suggests that instead of administering the placebo effect as a nuisance variable, it should be constructed with a psychological phenomenon. Such a plan can be utilized to improve treatment in hospitals.</w:t>
      </w:r>
    </w:p>
    <w:p w:rsidR="00000000" w:rsidDel="00000000" w:rsidP="00000000" w:rsidRDefault="00000000" w:rsidRPr="00000000" w14:paraId="0000001E">
      <w:pPr>
        <w:spacing w:after="0" w:lineRule="auto"/>
        <w:ind w:left="0" w:firstLine="0"/>
        <w:rPr/>
      </w:pPr>
      <w:r w:rsidDel="00000000" w:rsidR="00000000" w:rsidRPr="00000000">
        <w:rPr>
          <w:highlight w:val="white"/>
          <w:rtl w:val="0"/>
        </w:rPr>
        <w:t xml:space="preserve">Dieppe, P., Goldingay, S., &amp; Greville-Harris, M. (2016). The power and value of placebo and </w:t>
        <w:tab/>
        <w:t xml:space="preserve">nocebo in painful osteoarthritis. </w:t>
      </w:r>
      <w:r w:rsidDel="00000000" w:rsidR="00000000" w:rsidRPr="00000000">
        <w:rPr>
          <w:i w:val="1"/>
          <w:highlight w:val="white"/>
          <w:rtl w:val="0"/>
        </w:rPr>
        <w:t xml:space="preserve">Osteoarthritis and Cartilage</w:t>
      </w:r>
      <w:r w:rsidDel="00000000" w:rsidR="00000000" w:rsidRPr="00000000">
        <w:rPr>
          <w:highlight w:val="white"/>
          <w:rtl w:val="0"/>
        </w:rPr>
        <w:t xml:space="preserve">, </w:t>
      </w:r>
      <w:r w:rsidDel="00000000" w:rsidR="00000000" w:rsidRPr="00000000">
        <w:rPr>
          <w:i w:val="1"/>
          <w:highlight w:val="white"/>
          <w:rtl w:val="0"/>
        </w:rPr>
        <w:t xml:space="preserve">24</w:t>
      </w:r>
      <w:r w:rsidDel="00000000" w:rsidR="00000000" w:rsidRPr="00000000">
        <w:rPr>
          <w:highlight w:val="white"/>
          <w:rtl w:val="0"/>
        </w:rPr>
        <w:t xml:space="preserve">(11), 1850-</w:t>
        <w:tab/>
        <w:t xml:space="preserve">1857. </w:t>
      </w:r>
      <w:hyperlink r:id="rId9">
        <w:r w:rsidDel="00000000" w:rsidR="00000000" w:rsidRPr="00000000">
          <w:rPr>
            <w:color w:val="000000"/>
            <w:highlight w:val="white"/>
            <w:u w:val="single"/>
            <w:rtl w:val="0"/>
          </w:rPr>
          <w:t xml:space="preserve">https://doi.org/10.1016/j.joca.2016.06.007</w:t>
        </w:r>
      </w:hyperlink>
      <w:r w:rsidDel="00000000" w:rsidR="00000000" w:rsidRPr="00000000">
        <w:rPr>
          <w:rtl w:val="0"/>
        </w:rPr>
      </w:r>
    </w:p>
    <w:p w:rsidR="00000000" w:rsidDel="00000000" w:rsidP="00000000" w:rsidRDefault="00000000" w:rsidRPr="00000000" w14:paraId="0000001F">
      <w:pPr>
        <w:tabs>
          <w:tab w:val="left" w:pos="900"/>
        </w:tabs>
        <w:spacing w:after="0" w:lineRule="auto"/>
        <w:ind w:left="0" w:firstLine="0"/>
        <w:rPr/>
      </w:pPr>
      <w:r w:rsidDel="00000000" w:rsidR="00000000" w:rsidRPr="00000000">
        <w:rPr>
          <w:rtl w:val="0"/>
        </w:rPr>
        <w:tab/>
        <w:t xml:space="preserve">The article handles the most recent development of human beings understanding the effects of dummy intervention of significant OA symptoms and pain. The paper also highlights the practical approaches to the investigation of nocebo and placebo effects. The report's hypothesis is the argument about how the placebo effect offers much support to the nature of chronic diseases such as OA. OA.the hypothesis is supported by how the paper handles placebo's effectiveness and efficacy on pain in osteoarthritis.</w:t>
      </w:r>
    </w:p>
    <w:p w:rsidR="00000000" w:rsidDel="00000000" w:rsidP="00000000" w:rsidRDefault="00000000" w:rsidRPr="00000000" w14:paraId="00000020">
      <w:pPr>
        <w:tabs>
          <w:tab w:val="left" w:pos="900"/>
        </w:tabs>
        <w:spacing w:after="0" w:lineRule="auto"/>
        <w:ind w:left="0" w:firstLine="0"/>
        <w:rPr/>
      </w:pPr>
      <w:r w:rsidDel="00000000" w:rsidR="00000000" w:rsidRPr="00000000">
        <w:rPr>
          <w:rtl w:val="0"/>
        </w:rPr>
        <w:tab/>
        <w:t xml:space="preserve">This research informs the research question with how it offers diverse approaches to placebo effects, suggesting different theories for expectations and conditioning. The paper also provides insights on the importance of social safety and validation in neurophysiological and communication theory. Such ideas relate to how beneficial the placebo effect is in the community.</w:t>
      </w:r>
    </w:p>
    <w:p w:rsidR="00000000" w:rsidDel="00000000" w:rsidP="00000000" w:rsidRDefault="00000000" w:rsidRPr="00000000" w14:paraId="00000021">
      <w:pPr>
        <w:tabs>
          <w:tab w:val="left" w:pos="900"/>
        </w:tabs>
        <w:spacing w:after="0" w:lineRule="auto"/>
        <w:ind w:left="0" w:firstLine="0"/>
        <w:rPr/>
      </w:pPr>
      <w:r w:rsidDel="00000000" w:rsidR="00000000" w:rsidRPr="00000000">
        <w:rPr>
          <w:highlight w:val="white"/>
          <w:rtl w:val="0"/>
        </w:rPr>
        <w:t xml:space="preserve">Watson, A., Power, A., Brown, C., El-Deredy, W., &amp; Jones, A. (2012). Placebo analgesia: </w:t>
        <w:tab/>
        <w:t xml:space="preserve">Cognitive influences on therapeutic outcome. </w:t>
      </w:r>
      <w:r w:rsidDel="00000000" w:rsidR="00000000" w:rsidRPr="00000000">
        <w:rPr>
          <w:i w:val="1"/>
          <w:highlight w:val="white"/>
          <w:rtl w:val="0"/>
        </w:rPr>
        <w:t xml:space="preserve">Arthritis Research &amp; Therapy</w:t>
      </w:r>
      <w:r w:rsidDel="00000000" w:rsidR="00000000" w:rsidRPr="00000000">
        <w:rPr>
          <w:highlight w:val="white"/>
          <w:rtl w:val="0"/>
        </w:rPr>
        <w:t xml:space="preserve">, </w:t>
      </w:r>
      <w:r w:rsidDel="00000000" w:rsidR="00000000" w:rsidRPr="00000000">
        <w:rPr>
          <w:i w:val="1"/>
          <w:highlight w:val="white"/>
          <w:rtl w:val="0"/>
        </w:rPr>
        <w:t xml:space="preserve">14</w:t>
      </w:r>
      <w:r w:rsidDel="00000000" w:rsidR="00000000" w:rsidRPr="00000000">
        <w:rPr>
          <w:highlight w:val="white"/>
          <w:rtl w:val="0"/>
        </w:rPr>
        <w:t xml:space="preserve">(3), </w:t>
        <w:tab/>
        <w:t xml:space="preserve">206. </w:t>
      </w:r>
      <w:hyperlink r:id="rId10">
        <w:r w:rsidDel="00000000" w:rsidR="00000000" w:rsidRPr="00000000">
          <w:rPr>
            <w:color w:val="000000"/>
            <w:highlight w:val="white"/>
            <w:u w:val="single"/>
            <w:rtl w:val="0"/>
          </w:rPr>
          <w:t xml:space="preserve">https://doi.org/10.1186/ar3783</w:t>
        </w:r>
      </w:hyperlink>
      <w:r w:rsidDel="00000000" w:rsidR="00000000" w:rsidRPr="00000000">
        <w:rPr>
          <w:rtl w:val="0"/>
        </w:rPr>
      </w:r>
    </w:p>
    <w:p w:rsidR="00000000" w:rsidDel="00000000" w:rsidP="00000000" w:rsidRDefault="00000000" w:rsidRPr="00000000" w14:paraId="00000022">
      <w:pPr>
        <w:tabs>
          <w:tab w:val="left" w:pos="900"/>
        </w:tabs>
        <w:spacing w:after="0" w:lineRule="auto"/>
        <w:ind w:left="0" w:firstLine="0"/>
        <w:rPr/>
      </w:pPr>
      <w:r w:rsidDel="00000000" w:rsidR="00000000" w:rsidRPr="00000000">
        <w:rPr>
          <w:rtl w:val="0"/>
        </w:rPr>
        <w:tab/>
        <w:t xml:space="preserve">This paper's hypothesis is the importance of the practitioner-patient relationship and how it enhances the placebo effect. This research paper supports the thesis as it gives crucial information on psychological variables and their influence on placebo responses. The document states that placebo effects are highly adjustable between the range of reactions and the individuals. According to this paper, placebo effects are independent of physical, social, and age demographics. The article also discusses the practitioner-patient relationship. The crucial concern for the placebo effect is the benefit of effective therapies that depends on physical interaction.</w:t>
      </w:r>
    </w:p>
    <w:p w:rsidR="00000000" w:rsidDel="00000000" w:rsidP="00000000" w:rsidRDefault="00000000" w:rsidRPr="00000000" w14:paraId="00000023">
      <w:pPr>
        <w:tabs>
          <w:tab w:val="left" w:pos="900"/>
        </w:tabs>
        <w:spacing w:after="0" w:lineRule="auto"/>
        <w:ind w:left="0" w:firstLine="0"/>
        <w:rPr/>
      </w:pPr>
      <w:r w:rsidDel="00000000" w:rsidR="00000000" w:rsidRPr="00000000">
        <w:rPr>
          <w:rtl w:val="0"/>
        </w:rPr>
        <w:tab/>
        <w:t xml:space="preserve">This paper is essential to the research question as it offers insights on how to enhance the placebo effect in healthcare settings. The form provides psychological and physiological benefits. The research also indicates the robustness of the phenomenon mentioned earlier. It also insists that people should have self-heal chances. Individuals need to resolve unethical aspects that mislead patients through providing comprehensible and positive information to clients.</w:t>
      </w:r>
    </w:p>
    <w:p w:rsidR="00000000" w:rsidDel="00000000" w:rsidP="00000000" w:rsidRDefault="00000000" w:rsidRPr="00000000" w14:paraId="00000024">
      <w:pPr>
        <w:tabs>
          <w:tab w:val="left" w:pos="900"/>
        </w:tabs>
        <w:spacing w:after="0" w:lineRule="auto"/>
        <w:ind w:left="0" w:firstLine="0"/>
        <w:rPr/>
      </w:pPr>
      <w:r w:rsidDel="00000000" w:rsidR="00000000" w:rsidRPr="00000000">
        <w:rPr>
          <w:rtl w:val="0"/>
        </w:rPr>
      </w:r>
    </w:p>
    <w:p w:rsidR="00000000" w:rsidDel="00000000" w:rsidP="00000000" w:rsidRDefault="00000000" w:rsidRPr="00000000" w14:paraId="00000025">
      <w:pPr>
        <w:tabs>
          <w:tab w:val="left" w:pos="900"/>
        </w:tabs>
        <w:spacing w:after="0" w:lineRule="auto"/>
        <w:ind w:left="0" w:firstLine="0"/>
        <w:rPr/>
      </w:pPr>
      <w:r w:rsidDel="00000000" w:rsidR="00000000" w:rsidRPr="00000000">
        <w:rPr>
          <w:rtl w:val="0"/>
        </w:rPr>
      </w:r>
    </w:p>
    <w:p w:rsidR="00000000" w:rsidDel="00000000" w:rsidP="00000000" w:rsidRDefault="00000000" w:rsidRPr="00000000" w14:paraId="00000026">
      <w:pPr>
        <w:tabs>
          <w:tab w:val="left" w:pos="900"/>
        </w:tabs>
        <w:ind w:left="0" w:firstLine="0"/>
        <w:rPr/>
      </w:pPr>
      <w:r w:rsidDel="00000000" w:rsidR="00000000" w:rsidRPr="00000000">
        <w:rPr>
          <w:rtl w:val="0"/>
        </w:rPr>
      </w:r>
    </w:p>
    <w:p w:rsidR="00000000" w:rsidDel="00000000" w:rsidP="00000000" w:rsidRDefault="00000000" w:rsidRPr="00000000" w14:paraId="00000027">
      <w:pPr>
        <w:tabs>
          <w:tab w:val="left" w:pos="900"/>
        </w:tabs>
        <w:ind w:left="0" w:firstLine="0"/>
        <w:rPr/>
      </w:pPr>
      <w:r w:rsidDel="00000000" w:rsidR="00000000" w:rsidRPr="00000000">
        <w:rPr>
          <w:rtl w:val="0"/>
        </w:rPr>
      </w:r>
    </w:p>
    <w:p w:rsidR="00000000" w:rsidDel="00000000" w:rsidP="00000000" w:rsidRDefault="00000000" w:rsidRPr="00000000" w14:paraId="00000028">
      <w:pPr>
        <w:tabs>
          <w:tab w:val="left" w:pos="900"/>
        </w:tabs>
        <w:ind w:left="0" w:firstLine="0"/>
        <w:rPr/>
      </w:pPr>
      <w:r w:rsidDel="00000000" w:rsidR="00000000" w:rsidRPr="00000000">
        <w:rPr>
          <w:rtl w:val="0"/>
        </w:rPr>
      </w:r>
    </w:p>
    <w:p w:rsidR="00000000" w:rsidDel="00000000" w:rsidP="00000000" w:rsidRDefault="00000000" w:rsidRPr="00000000" w14:paraId="00000029">
      <w:pPr>
        <w:shd w:fill="ffffff" w:val="clear"/>
        <w:ind w:firstLine="720"/>
        <w:jc w:val="center"/>
        <w:rPr/>
      </w:pPr>
      <w:r w:rsidDel="00000000" w:rsidR="00000000" w:rsidRPr="00000000">
        <w:rPr>
          <w:rtl w:val="0"/>
        </w:rPr>
      </w:r>
    </w:p>
    <w:p w:rsidR="00000000" w:rsidDel="00000000" w:rsidP="00000000" w:rsidRDefault="00000000" w:rsidRPr="00000000" w14:paraId="0000002A">
      <w:pPr>
        <w:shd w:fill="ffffff" w:val="clear"/>
        <w:ind w:firstLine="720"/>
        <w:jc w:val="center"/>
        <w:rPr/>
      </w:pPr>
      <w:r w:rsidDel="00000000" w:rsidR="00000000" w:rsidRPr="00000000">
        <w:rPr>
          <w:rtl w:val="0"/>
        </w:rPr>
      </w:r>
    </w:p>
    <w:p w:rsidR="00000000" w:rsidDel="00000000" w:rsidP="00000000" w:rsidRDefault="00000000" w:rsidRPr="00000000" w14:paraId="0000002B">
      <w:pPr>
        <w:shd w:fill="ffffff" w:val="clear"/>
        <w:ind w:firstLine="720"/>
        <w:jc w:val="center"/>
        <w:rPr>
          <w:color w:val="000000"/>
        </w:rPr>
      </w:pPr>
      <w:r w:rsidDel="00000000" w:rsidR="00000000" w:rsidRPr="00000000">
        <w:rPr>
          <w:color w:val="000000"/>
          <w:rtl w:val="0"/>
        </w:rPr>
        <w:t xml:space="preserve">References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Dieppe, P., Goldingay, S., &amp; Greville-Harris, M. (2016). The power and value of placebo and nocebo in painful osteoarthritis.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Osteoarthritis and Cartilage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1850-1857. </w:t>
      </w:r>
      <w:hyperlink r:id="rId11">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https://doi.org/10.1016/j.joca.2016.06.007</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 L. C., Goyer, J. P., &amp; Crum, A. J. (2017). undefined.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Health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1074-1082. </w:t>
      </w:r>
      <w:hyperlink r:id="rId12">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https://doi.org/10.1037/hea0000499</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Jonas, W. B. (2011). Reframing placebo in research and practice.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Philosophical Transactions of the Royal Society B: Biological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366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(1572), 1896-1904. </w:t>
      </w:r>
      <w:hyperlink r:id="rId13">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https://doi.org/10.1098/rstb.2010.0405</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Miller, F. G., Colloca, L., &amp; Kaptchuk, T. J. (2012). The placebo effect: Illness and interpersonal healing.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Perspectives in Biology and Medicine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518-539. </w:t>
      </w:r>
      <w:hyperlink r:id="rId14">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https://doi.org/10.1353/pbm.0.0115</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Watson, A., Power, A., Brown, C., El-Deredy, W., &amp; Jones, A. (2012). Placebo analgesia: Cognitive influences on therapeutic outcome.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Arthritis Research &amp; Therapy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206. </w:t>
      </w:r>
      <w:hyperlink r:id="rId15">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https://doi.org/10.1186/ar3783</w:t>
        </w:r>
      </w:hyperlink>
      <w:r w:rsidDel="00000000" w:rsidR="00000000" w:rsidRPr="00000000">
        <w:rPr>
          <w:rtl w:val="0"/>
        </w:rPr>
      </w:r>
    </w:p>
    <w:p w:rsidR="00000000" w:rsidDel="00000000" w:rsidP="00000000" w:rsidRDefault="00000000" w:rsidRPr="00000000" w14:paraId="00000031">
      <w:pPr>
        <w:tabs>
          <w:tab w:val="left" w:pos="900"/>
        </w:tabs>
        <w:ind w:left="0" w:firstLine="0"/>
        <w:rPr/>
      </w:pPr>
      <w:r w:rsidDel="00000000" w:rsidR="00000000" w:rsidRPr="00000000">
        <w:rPr>
          <w:rtl w:val="0"/>
        </w:rPr>
      </w:r>
    </w:p>
    <w:sectPr>
      <w:headerReference r:id="rId16" w:type="default"/>
      <w:head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inheri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w:t>
    </w:r>
    <w:r w:rsidDel="00000000" w:rsidR="00000000" w:rsidRPr="00000000">
      <w:rPr>
        <w:rtl w:val="0"/>
      </w:rPr>
      <w:t xml:space="preserve">lacebo effects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Placebo effects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480" w:lineRule="auto"/>
        <w:ind w:left="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joca.2016.06.007" TargetMode="External"/><Relationship Id="rId10" Type="http://schemas.openxmlformats.org/officeDocument/2006/relationships/hyperlink" Target="https://doi.org/10.1186/ar3783" TargetMode="External"/><Relationship Id="rId13" Type="http://schemas.openxmlformats.org/officeDocument/2006/relationships/hyperlink" Target="https://doi.org/10.1098/rstb.2010.0405" TargetMode="External"/><Relationship Id="rId12" Type="http://schemas.openxmlformats.org/officeDocument/2006/relationships/hyperlink" Target="https://doi.org/10.1037/hea00004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joca.2016.06.007" TargetMode="External"/><Relationship Id="rId15" Type="http://schemas.openxmlformats.org/officeDocument/2006/relationships/hyperlink" Target="https://doi.org/10.1186/ar3783" TargetMode="External"/><Relationship Id="rId14" Type="http://schemas.openxmlformats.org/officeDocument/2006/relationships/hyperlink" Target="https://doi.org/10.1353/pbm.0.0115"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i.org/10.1098/rstb.2010.0405" TargetMode="External"/><Relationship Id="rId7" Type="http://schemas.openxmlformats.org/officeDocument/2006/relationships/hyperlink" Target="https://doi.org/10.1353/pbm.0.0115" TargetMode="External"/><Relationship Id="rId8" Type="http://schemas.openxmlformats.org/officeDocument/2006/relationships/hyperlink" Target="https://doi.org/10.1037/hea0000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